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3767"/>
        <w:gridCol w:w="4516"/>
      </w:tblGrid>
      <w:tr w:rsidR="003738BA" w14:paraId="29BE5DAE" w14:textId="77777777" w:rsidTr="003738BA">
        <w:tc>
          <w:tcPr>
            <w:tcW w:w="3417" w:type="dxa"/>
            <w:tcBorders>
              <w:top w:val="single" w:sz="4" w:space="0" w:color="auto"/>
              <w:left w:val="single" w:sz="4" w:space="0" w:color="auto"/>
              <w:bottom w:val="single" w:sz="4" w:space="0" w:color="auto"/>
              <w:right w:val="single" w:sz="4" w:space="0" w:color="auto"/>
            </w:tcBorders>
          </w:tcPr>
          <w:p w14:paraId="17356D10" w14:textId="77777777" w:rsidR="003738BA" w:rsidRDefault="003738BA">
            <w:pPr>
              <w:spacing w:line="240" w:lineRule="auto"/>
              <w:rPr>
                <w:b/>
                <w:bCs/>
              </w:rPr>
            </w:pPr>
            <w:bookmarkStart w:id="0" w:name="_GoBack"/>
            <w:bookmarkEnd w:id="0"/>
            <w:r>
              <w:rPr>
                <w:b/>
                <w:bCs/>
              </w:rPr>
              <w:t>Cognitieve problemen</w:t>
            </w:r>
          </w:p>
        </w:tc>
        <w:tc>
          <w:tcPr>
            <w:tcW w:w="4516" w:type="dxa"/>
            <w:tcBorders>
              <w:top w:val="single" w:sz="4" w:space="0" w:color="auto"/>
              <w:left w:val="single" w:sz="4" w:space="0" w:color="auto"/>
              <w:bottom w:val="single" w:sz="4" w:space="0" w:color="auto"/>
              <w:right w:val="single" w:sz="4" w:space="0" w:color="auto"/>
            </w:tcBorders>
          </w:tcPr>
          <w:p w14:paraId="77A5ABD7" w14:textId="77777777" w:rsidR="003738BA" w:rsidRDefault="003738BA">
            <w:pPr>
              <w:spacing w:line="240" w:lineRule="auto"/>
              <w:rPr>
                <w:b/>
                <w:bCs/>
              </w:rPr>
            </w:pPr>
          </w:p>
        </w:tc>
      </w:tr>
      <w:tr w:rsidR="003738BA" w14:paraId="1D8E4961"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071C9862" w14:textId="77777777" w:rsidR="003738BA" w:rsidRDefault="003738BA">
            <w:pPr>
              <w:spacing w:line="240" w:lineRule="auto"/>
              <w:rPr>
                <w:b/>
                <w:bCs/>
              </w:rPr>
            </w:pPr>
            <w:r>
              <w:rPr>
                <w:b/>
                <w:bCs/>
              </w:rPr>
              <w:t>Mogelijke tekens</w:t>
            </w:r>
          </w:p>
        </w:tc>
        <w:tc>
          <w:tcPr>
            <w:tcW w:w="4516" w:type="dxa"/>
            <w:tcBorders>
              <w:top w:val="single" w:sz="4" w:space="0" w:color="auto"/>
              <w:left w:val="single" w:sz="4" w:space="0" w:color="auto"/>
              <w:bottom w:val="single" w:sz="4" w:space="0" w:color="auto"/>
              <w:right w:val="single" w:sz="4" w:space="0" w:color="auto"/>
            </w:tcBorders>
            <w:hideMark/>
          </w:tcPr>
          <w:p w14:paraId="6F0E959B" w14:textId="77777777" w:rsidR="003738BA" w:rsidRDefault="003738BA">
            <w:pPr>
              <w:spacing w:line="240" w:lineRule="auto"/>
              <w:rPr>
                <w:b/>
                <w:bCs/>
              </w:rPr>
            </w:pPr>
            <w:r>
              <w:rPr>
                <w:b/>
                <w:bCs/>
              </w:rPr>
              <w:t xml:space="preserve">Uitleg </w:t>
            </w:r>
          </w:p>
        </w:tc>
      </w:tr>
      <w:tr w:rsidR="003738BA" w:rsidRPr="003738BA" w14:paraId="417F728E"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76A1E1A1" w14:textId="77777777" w:rsidR="003738BA" w:rsidRDefault="003738BA">
            <w:pPr>
              <w:spacing w:line="240" w:lineRule="auto"/>
            </w:pPr>
            <w:r>
              <w:t xml:space="preserve">Geheugenklachten </w:t>
            </w:r>
          </w:p>
        </w:tc>
        <w:tc>
          <w:tcPr>
            <w:tcW w:w="4516" w:type="dxa"/>
            <w:tcBorders>
              <w:top w:val="single" w:sz="4" w:space="0" w:color="auto"/>
              <w:left w:val="single" w:sz="4" w:space="0" w:color="auto"/>
              <w:bottom w:val="single" w:sz="4" w:space="0" w:color="auto"/>
              <w:right w:val="single" w:sz="4" w:space="0" w:color="auto"/>
            </w:tcBorders>
          </w:tcPr>
          <w:p w14:paraId="3B59E40F" w14:textId="77777777" w:rsidR="003738BA" w:rsidRDefault="003738BA">
            <w:pPr>
              <w:spacing w:line="240" w:lineRule="auto"/>
            </w:pPr>
            <w:r>
              <w:t>Het betreft hier vooral het episodisch geheugen. De patiënt kan zich recente gebeurtenissen niet meer herinneren. Dit uit zich door bijvoorbeeld detailverlies in herinneringen, afspraken vergeten, frequent herhalen van éénzelfde vraag, niet meer weten waar men voorwerpen heeft gelegd, aarzelen, inconsistente verhalen en confabuleren. Een zeer typisch teken is het zogenaamde ‘</w:t>
            </w:r>
            <w:proofErr w:type="spellStart"/>
            <w:r>
              <w:t>headturningsign</w:t>
            </w:r>
            <w:proofErr w:type="spellEnd"/>
            <w:r>
              <w:t>’*.</w:t>
            </w:r>
            <w:r>
              <w:br/>
              <w:t>(ziekte van Alzheimer)</w:t>
            </w:r>
          </w:p>
          <w:p w14:paraId="028EF5FC" w14:textId="77777777" w:rsidR="003738BA" w:rsidRDefault="003738BA">
            <w:pPr>
              <w:spacing w:line="240" w:lineRule="auto"/>
            </w:pPr>
          </w:p>
        </w:tc>
      </w:tr>
      <w:tr w:rsidR="003738BA" w14:paraId="51034818"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515A794B" w14:textId="77777777" w:rsidR="003738BA" w:rsidRDefault="003738BA">
            <w:pPr>
              <w:spacing w:line="240" w:lineRule="auto"/>
            </w:pPr>
            <w:r>
              <w:t>Verminderde oriëntatie in tijd en ruimte</w:t>
            </w:r>
          </w:p>
        </w:tc>
        <w:tc>
          <w:tcPr>
            <w:tcW w:w="4516" w:type="dxa"/>
            <w:tcBorders>
              <w:top w:val="single" w:sz="4" w:space="0" w:color="auto"/>
              <w:left w:val="single" w:sz="4" w:space="0" w:color="auto"/>
              <w:bottom w:val="single" w:sz="4" w:space="0" w:color="auto"/>
              <w:right w:val="single" w:sz="4" w:space="0" w:color="auto"/>
            </w:tcBorders>
            <w:hideMark/>
          </w:tcPr>
          <w:p w14:paraId="16EC1C92" w14:textId="77777777" w:rsidR="003738BA" w:rsidRDefault="003738BA">
            <w:pPr>
              <w:spacing w:line="240" w:lineRule="auto"/>
            </w:pPr>
            <w:proofErr w:type="gramStart"/>
            <w:r>
              <w:t>bv</w:t>
            </w:r>
            <w:proofErr w:type="gramEnd"/>
            <w:r>
              <w:t xml:space="preserve"> niet meer weten welke dag het is, verdwalen enz. </w:t>
            </w:r>
          </w:p>
          <w:p w14:paraId="7B10DD36" w14:textId="77777777" w:rsidR="003738BA" w:rsidRDefault="003738BA">
            <w:pPr>
              <w:spacing w:line="240" w:lineRule="auto"/>
            </w:pPr>
            <w:r>
              <w:t>(</w:t>
            </w:r>
            <w:proofErr w:type="gramStart"/>
            <w:r>
              <w:t>ziekte</w:t>
            </w:r>
            <w:proofErr w:type="gramEnd"/>
            <w:r>
              <w:t xml:space="preserve"> van Alzheimer)</w:t>
            </w:r>
          </w:p>
        </w:tc>
      </w:tr>
      <w:tr w:rsidR="003738BA" w14:paraId="60A8AD56"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05F194B8" w14:textId="77777777" w:rsidR="003738BA" w:rsidRDefault="003738BA">
            <w:pPr>
              <w:spacing w:line="240" w:lineRule="auto"/>
            </w:pPr>
            <w:r>
              <w:t xml:space="preserve">‘Executive </w:t>
            </w:r>
            <w:proofErr w:type="spellStart"/>
            <w:r>
              <w:t>dysfunction</w:t>
            </w:r>
            <w:proofErr w:type="spellEnd"/>
            <w:r>
              <w:t>’</w:t>
            </w:r>
          </w:p>
        </w:tc>
        <w:tc>
          <w:tcPr>
            <w:tcW w:w="4516" w:type="dxa"/>
            <w:tcBorders>
              <w:top w:val="single" w:sz="4" w:space="0" w:color="auto"/>
              <w:left w:val="single" w:sz="4" w:space="0" w:color="auto"/>
              <w:bottom w:val="single" w:sz="4" w:space="0" w:color="auto"/>
              <w:right w:val="single" w:sz="4" w:space="0" w:color="auto"/>
            </w:tcBorders>
          </w:tcPr>
          <w:p w14:paraId="1FE2FBB6" w14:textId="77777777" w:rsidR="003738BA" w:rsidRDefault="003738BA">
            <w:pPr>
              <w:spacing w:line="240" w:lineRule="auto"/>
            </w:pPr>
            <w:r>
              <w:t>Het betreft hier een verminderde capaciteit tot het uitvoeren van complexere taken waarbij stapsgewijs nagedacht moet worden. Een aantal van deze taken vallen onder de ‘instrumentele activiteiten in het dagelijks leven’ (I-ADL)</w:t>
            </w:r>
          </w:p>
          <w:p w14:paraId="61DF36AD" w14:textId="77777777" w:rsidR="003738BA" w:rsidRDefault="003738BA">
            <w:pPr>
              <w:spacing w:line="240" w:lineRule="auto"/>
            </w:pPr>
          </w:p>
          <w:p w14:paraId="4B418894" w14:textId="77777777" w:rsidR="003738BA" w:rsidRDefault="003738BA">
            <w:pPr>
              <w:spacing w:line="240" w:lineRule="auto"/>
            </w:pPr>
            <w:r>
              <w:t>1° Verminderd vermogen tot plannen en organiseren van activiteiten</w:t>
            </w:r>
            <w:r>
              <w:br/>
              <w:t xml:space="preserve">bijvoorbeeld dagindeling, afspraken nakomen enz. </w:t>
            </w:r>
          </w:p>
          <w:p w14:paraId="2C2167AA" w14:textId="77777777" w:rsidR="003738BA" w:rsidRDefault="003738BA">
            <w:pPr>
              <w:spacing w:line="240" w:lineRule="auto"/>
            </w:pPr>
          </w:p>
          <w:p w14:paraId="1892ACB1" w14:textId="77777777" w:rsidR="003738BA" w:rsidRDefault="003738BA">
            <w:pPr>
              <w:spacing w:line="240" w:lineRule="auto"/>
            </w:pPr>
            <w:r>
              <w:t>2° Niet kunnen aanleren van een nieuwe handelingen bijvoorbeeld nieuw huishoudelijk apparaat</w:t>
            </w:r>
          </w:p>
          <w:p w14:paraId="4DF7C42A" w14:textId="77777777" w:rsidR="003738BA" w:rsidRDefault="003738BA">
            <w:pPr>
              <w:spacing w:line="240" w:lineRule="auto"/>
            </w:pPr>
          </w:p>
          <w:p w14:paraId="352D4C23" w14:textId="77777777" w:rsidR="003738BA" w:rsidRDefault="003738BA">
            <w:pPr>
              <w:spacing w:line="240" w:lineRule="auto"/>
            </w:pPr>
            <w:r>
              <w:t xml:space="preserve">3° Verlies van abstract denken, logisch redeneren en/of </w:t>
            </w:r>
            <w:proofErr w:type="spellStart"/>
            <w:r>
              <w:t>visuoconstructie</w:t>
            </w:r>
            <w:proofErr w:type="spellEnd"/>
            <w:r>
              <w:t xml:space="preserve"> bijvoorbeeld het tekenen van een klok, het volgen van een kookrecept, uitvoeren van financiële verrichtingen, gebruik van publiek transport enz. </w:t>
            </w:r>
          </w:p>
          <w:p w14:paraId="25CE9C21" w14:textId="77777777" w:rsidR="003738BA" w:rsidRDefault="003738BA">
            <w:pPr>
              <w:spacing w:line="240" w:lineRule="auto"/>
            </w:pPr>
          </w:p>
          <w:p w14:paraId="0248676C" w14:textId="77777777" w:rsidR="003738BA" w:rsidRDefault="003738BA">
            <w:pPr>
              <w:spacing w:line="240" w:lineRule="auto"/>
            </w:pPr>
            <w:r>
              <w:t>4° Verminderd inzicht in het eigen functioneren</w:t>
            </w:r>
          </w:p>
          <w:p w14:paraId="2EB44E03" w14:textId="77777777" w:rsidR="003738BA" w:rsidRDefault="003738BA">
            <w:pPr>
              <w:spacing w:line="240" w:lineRule="auto"/>
            </w:pPr>
          </w:p>
          <w:p w14:paraId="56219046" w14:textId="77777777" w:rsidR="003738BA" w:rsidRDefault="003738BA">
            <w:pPr>
              <w:spacing w:line="240" w:lineRule="auto"/>
            </w:pPr>
            <w:r>
              <w:t xml:space="preserve">Executive </w:t>
            </w:r>
            <w:proofErr w:type="spellStart"/>
            <w:r>
              <w:t>dysfunction</w:t>
            </w:r>
            <w:proofErr w:type="spellEnd"/>
            <w:r>
              <w:t xml:space="preserve"> treedt vroeger op dan geheugenverlies bij </w:t>
            </w:r>
            <w:proofErr w:type="spellStart"/>
            <w:r>
              <w:t>frontotemporaaldementie</w:t>
            </w:r>
            <w:proofErr w:type="spellEnd"/>
            <w:r>
              <w:t>, vasculaire dementie en preseniele (&lt; 65 jaar) Alzheimerdementie</w:t>
            </w:r>
          </w:p>
        </w:tc>
      </w:tr>
      <w:tr w:rsidR="003738BA" w14:paraId="212AC860"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420EA943" w14:textId="77777777" w:rsidR="003738BA" w:rsidRDefault="003738BA">
            <w:pPr>
              <w:spacing w:line="240" w:lineRule="auto"/>
            </w:pPr>
            <w:r>
              <w:t>Taalproblemen</w:t>
            </w:r>
          </w:p>
        </w:tc>
        <w:tc>
          <w:tcPr>
            <w:tcW w:w="4516" w:type="dxa"/>
            <w:tcBorders>
              <w:top w:val="single" w:sz="4" w:space="0" w:color="auto"/>
              <w:left w:val="single" w:sz="4" w:space="0" w:color="auto"/>
              <w:bottom w:val="single" w:sz="4" w:space="0" w:color="auto"/>
              <w:right w:val="single" w:sz="4" w:space="0" w:color="auto"/>
            </w:tcBorders>
            <w:hideMark/>
          </w:tcPr>
          <w:p w14:paraId="47805431" w14:textId="77777777" w:rsidR="003738BA" w:rsidRDefault="003738BA">
            <w:pPr>
              <w:spacing w:line="240" w:lineRule="auto"/>
            </w:pPr>
            <w:r>
              <w:t xml:space="preserve">Niet-vloeiend praten, naar woorden zoeken of onjuiste woorden gebruiken. De patiënt moet meer moeite doen om zijn woorden te vinden en/of maakt meer grammaticale fouten. </w:t>
            </w:r>
            <w:r>
              <w:lastRenderedPageBreak/>
              <w:t>Taalbegrip blijft meestal bewaard</w:t>
            </w:r>
            <w:r>
              <w:br/>
              <w:t>(</w:t>
            </w:r>
            <w:proofErr w:type="spellStart"/>
            <w:r>
              <w:t>frontotemporaaldementie</w:t>
            </w:r>
            <w:proofErr w:type="spellEnd"/>
            <w:r>
              <w:t>)</w:t>
            </w:r>
          </w:p>
        </w:tc>
      </w:tr>
      <w:tr w:rsidR="003738BA" w14:paraId="789D3A7E"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0155C5EC" w14:textId="77777777" w:rsidR="003738BA" w:rsidRDefault="003738BA">
            <w:pPr>
              <w:spacing w:line="240" w:lineRule="auto"/>
            </w:pPr>
            <w:r>
              <w:lastRenderedPageBreak/>
              <w:t>Apraxie</w:t>
            </w:r>
          </w:p>
        </w:tc>
        <w:tc>
          <w:tcPr>
            <w:tcW w:w="4516" w:type="dxa"/>
            <w:tcBorders>
              <w:top w:val="single" w:sz="4" w:space="0" w:color="auto"/>
              <w:left w:val="single" w:sz="4" w:space="0" w:color="auto"/>
              <w:bottom w:val="single" w:sz="4" w:space="0" w:color="auto"/>
              <w:right w:val="single" w:sz="4" w:space="0" w:color="auto"/>
            </w:tcBorders>
            <w:hideMark/>
          </w:tcPr>
          <w:p w14:paraId="5296A74E" w14:textId="77777777" w:rsidR="003738BA" w:rsidRDefault="003738BA">
            <w:pPr>
              <w:spacing w:line="240" w:lineRule="auto"/>
            </w:pPr>
            <w:r>
              <w:t xml:space="preserve">Patiënt kan eenvoudige handelingen, zoals de knopen van een hemd toedoen en haren kammen, niet meer uitvoeren bij een intact begrip, motoriek en </w:t>
            </w:r>
            <w:proofErr w:type="spellStart"/>
            <w:r>
              <w:t>gnosie</w:t>
            </w:r>
            <w:proofErr w:type="spellEnd"/>
          </w:p>
        </w:tc>
      </w:tr>
      <w:tr w:rsidR="003738BA" w14:paraId="4526B4E3"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42D9F34D" w14:textId="77777777" w:rsidR="003738BA" w:rsidRDefault="003738BA">
            <w:pPr>
              <w:spacing w:line="240" w:lineRule="auto"/>
            </w:pPr>
            <w:proofErr w:type="spellStart"/>
            <w:r>
              <w:t>Visuospatiële</w:t>
            </w:r>
            <w:proofErr w:type="spellEnd"/>
            <w:r>
              <w:t xml:space="preserve"> problemen </w:t>
            </w:r>
          </w:p>
        </w:tc>
        <w:tc>
          <w:tcPr>
            <w:tcW w:w="4516" w:type="dxa"/>
            <w:tcBorders>
              <w:top w:val="single" w:sz="4" w:space="0" w:color="auto"/>
              <w:left w:val="single" w:sz="4" w:space="0" w:color="auto"/>
              <w:bottom w:val="single" w:sz="4" w:space="0" w:color="auto"/>
              <w:right w:val="single" w:sz="4" w:space="0" w:color="auto"/>
            </w:tcBorders>
            <w:hideMark/>
          </w:tcPr>
          <w:p w14:paraId="3E57B0CE" w14:textId="77777777" w:rsidR="003738BA" w:rsidRDefault="003738BA">
            <w:pPr>
              <w:spacing w:line="240" w:lineRule="auto"/>
            </w:pPr>
            <w:r>
              <w:t>Verminderd ruimtelijk inzicht (naast dingen grijpen, vallen), verminderde ruimtelijke oriëntatie, moeilijk natekenen van figuren enz.</w:t>
            </w:r>
            <w:r>
              <w:br/>
              <w:t xml:space="preserve">(Dementie met </w:t>
            </w:r>
            <w:proofErr w:type="spellStart"/>
            <w:r>
              <w:t>LewyBodies</w:t>
            </w:r>
            <w:proofErr w:type="spellEnd"/>
            <w:r>
              <w:t xml:space="preserve">) </w:t>
            </w:r>
          </w:p>
        </w:tc>
      </w:tr>
      <w:tr w:rsidR="003738BA" w14:paraId="1FE3C008"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78F65170" w14:textId="77777777" w:rsidR="003738BA" w:rsidRDefault="003738BA">
            <w:pPr>
              <w:spacing w:line="240" w:lineRule="auto"/>
            </w:pPr>
            <w:r>
              <w:t>Mentale rigiditeit</w:t>
            </w:r>
          </w:p>
        </w:tc>
        <w:tc>
          <w:tcPr>
            <w:tcW w:w="4516" w:type="dxa"/>
            <w:tcBorders>
              <w:top w:val="single" w:sz="4" w:space="0" w:color="auto"/>
              <w:left w:val="single" w:sz="4" w:space="0" w:color="auto"/>
              <w:bottom w:val="single" w:sz="4" w:space="0" w:color="auto"/>
              <w:right w:val="single" w:sz="4" w:space="0" w:color="auto"/>
            </w:tcBorders>
            <w:hideMark/>
          </w:tcPr>
          <w:p w14:paraId="1C9F21E3" w14:textId="77777777" w:rsidR="003738BA" w:rsidRDefault="003738BA">
            <w:pPr>
              <w:spacing w:line="240" w:lineRule="auto"/>
            </w:pPr>
            <w:r>
              <w:t xml:space="preserve">(Dementie met </w:t>
            </w:r>
            <w:proofErr w:type="spellStart"/>
            <w:r>
              <w:t>LewyBodies</w:t>
            </w:r>
            <w:proofErr w:type="spellEnd"/>
            <w:r>
              <w:t xml:space="preserve">, </w:t>
            </w:r>
            <w:proofErr w:type="spellStart"/>
            <w:r>
              <w:t>Frontotemporaaldementie</w:t>
            </w:r>
            <w:proofErr w:type="spellEnd"/>
            <w:r>
              <w:t>)</w:t>
            </w:r>
          </w:p>
        </w:tc>
      </w:tr>
      <w:tr w:rsidR="003738BA" w14:paraId="72DA54BB"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7F4AC014" w14:textId="77777777" w:rsidR="003738BA" w:rsidRDefault="003738BA">
            <w:pPr>
              <w:spacing w:line="240" w:lineRule="auto"/>
            </w:pPr>
            <w:r>
              <w:t>Moeite met aandacht</w:t>
            </w:r>
          </w:p>
        </w:tc>
        <w:tc>
          <w:tcPr>
            <w:tcW w:w="4516" w:type="dxa"/>
            <w:tcBorders>
              <w:top w:val="single" w:sz="4" w:space="0" w:color="auto"/>
              <w:left w:val="single" w:sz="4" w:space="0" w:color="auto"/>
              <w:bottom w:val="single" w:sz="4" w:space="0" w:color="auto"/>
              <w:right w:val="single" w:sz="4" w:space="0" w:color="auto"/>
            </w:tcBorders>
          </w:tcPr>
          <w:p w14:paraId="71B7C2E9" w14:textId="77777777" w:rsidR="003738BA" w:rsidRDefault="003738BA">
            <w:pPr>
              <w:spacing w:line="240" w:lineRule="auto"/>
            </w:pPr>
            <w:r>
              <w:t xml:space="preserve">Dit uit zich in het moeilijk volhouden van taken </w:t>
            </w:r>
          </w:p>
          <w:p w14:paraId="31BD6A65" w14:textId="77777777" w:rsidR="003738BA" w:rsidRDefault="003738BA">
            <w:pPr>
              <w:spacing w:line="240" w:lineRule="auto"/>
            </w:pPr>
            <w:r>
              <w:t xml:space="preserve">(Dementie met </w:t>
            </w:r>
            <w:proofErr w:type="spellStart"/>
            <w:r>
              <w:t>LewyBodies</w:t>
            </w:r>
            <w:proofErr w:type="spellEnd"/>
            <w:r>
              <w:t xml:space="preserve">, </w:t>
            </w:r>
            <w:proofErr w:type="spellStart"/>
            <w:r>
              <w:t>Frontotemporaaldementie</w:t>
            </w:r>
            <w:proofErr w:type="spellEnd"/>
            <w:r>
              <w:t>)</w:t>
            </w:r>
          </w:p>
          <w:p w14:paraId="4AA76102" w14:textId="77777777" w:rsidR="003738BA" w:rsidRDefault="003738BA">
            <w:pPr>
              <w:spacing w:line="240" w:lineRule="auto"/>
            </w:pPr>
          </w:p>
          <w:p w14:paraId="12416C09" w14:textId="77777777" w:rsidR="003738BA" w:rsidRDefault="003738BA">
            <w:pPr>
              <w:spacing w:line="240" w:lineRule="auto"/>
            </w:pPr>
            <w:proofErr w:type="gramStart"/>
            <w:r>
              <w:t>DD delier</w:t>
            </w:r>
            <w:proofErr w:type="gramEnd"/>
            <w:r>
              <w:t xml:space="preserve"> </w:t>
            </w:r>
          </w:p>
        </w:tc>
      </w:tr>
      <w:tr w:rsidR="003738BA" w14:paraId="166ABF84"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3CF1845E" w14:textId="77777777" w:rsidR="003738BA" w:rsidRDefault="003738BA">
            <w:pPr>
              <w:spacing w:line="240" w:lineRule="auto"/>
            </w:pPr>
            <w:r>
              <w:t>Calculatiemoeilijkheden</w:t>
            </w:r>
          </w:p>
        </w:tc>
        <w:tc>
          <w:tcPr>
            <w:tcW w:w="4516" w:type="dxa"/>
            <w:tcBorders>
              <w:top w:val="single" w:sz="4" w:space="0" w:color="auto"/>
              <w:left w:val="single" w:sz="4" w:space="0" w:color="auto"/>
              <w:bottom w:val="single" w:sz="4" w:space="0" w:color="auto"/>
              <w:right w:val="single" w:sz="4" w:space="0" w:color="auto"/>
            </w:tcBorders>
            <w:hideMark/>
          </w:tcPr>
          <w:p w14:paraId="186FDC7F" w14:textId="77777777" w:rsidR="003738BA" w:rsidRDefault="003738BA">
            <w:pPr>
              <w:spacing w:line="240" w:lineRule="auto"/>
            </w:pPr>
            <w:r>
              <w:t>Bv. geldbeheer, betalen in de winkel, geld wisselen enz.</w:t>
            </w:r>
          </w:p>
        </w:tc>
      </w:tr>
      <w:tr w:rsidR="003738BA" w14:paraId="37B41A5A"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1841FA74" w14:textId="77777777" w:rsidR="003738BA" w:rsidRDefault="003738BA">
            <w:pPr>
              <w:spacing w:line="240" w:lineRule="auto"/>
            </w:pPr>
            <w:r>
              <w:t>Herkenning (agnosie)</w:t>
            </w:r>
          </w:p>
        </w:tc>
        <w:tc>
          <w:tcPr>
            <w:tcW w:w="4516" w:type="dxa"/>
            <w:tcBorders>
              <w:top w:val="single" w:sz="4" w:space="0" w:color="auto"/>
              <w:left w:val="single" w:sz="4" w:space="0" w:color="auto"/>
              <w:bottom w:val="single" w:sz="4" w:space="0" w:color="auto"/>
              <w:right w:val="single" w:sz="4" w:space="0" w:color="auto"/>
            </w:tcBorders>
            <w:hideMark/>
          </w:tcPr>
          <w:p w14:paraId="36320344" w14:textId="77777777" w:rsidR="003738BA" w:rsidRDefault="003738BA">
            <w:pPr>
              <w:spacing w:line="240" w:lineRule="auto"/>
            </w:pPr>
            <w:r>
              <w:t>Gegeven dat de visus en de sensibiliteit intact zijn kan de patiënt deze zintuigelijke prikkels niet meer herkennen. Bijvoorbeeld getoonde voorwerpen niet kunnen benoemen (visuele agnosie), met gesloten ogen een bekend object in de hand of bepaalde lichaamsdelen die men aanraakt niet kunnen benoemen (tactiele agnosie), personen niet kunnen herkennen (</w:t>
            </w:r>
            <w:proofErr w:type="spellStart"/>
            <w:r>
              <w:t>prosopagnosie</w:t>
            </w:r>
            <w:proofErr w:type="spellEnd"/>
            <w:r>
              <w:t>)</w:t>
            </w:r>
            <w:r>
              <w:br/>
            </w:r>
            <w:r>
              <w:br/>
              <w:t>Ook is er vaak gebrek aan ziekte-inzicht (</w:t>
            </w:r>
            <w:proofErr w:type="spellStart"/>
            <w:r>
              <w:t>anosognosie</w:t>
            </w:r>
            <w:proofErr w:type="spellEnd"/>
            <w:r>
              <w:t>)</w:t>
            </w:r>
          </w:p>
        </w:tc>
      </w:tr>
      <w:tr w:rsidR="003738BA" w:rsidRPr="003738BA" w14:paraId="011A2FFF" w14:textId="77777777" w:rsidTr="003738BA">
        <w:tc>
          <w:tcPr>
            <w:tcW w:w="3417" w:type="dxa"/>
            <w:tcBorders>
              <w:top w:val="single" w:sz="4" w:space="0" w:color="auto"/>
              <w:left w:val="single" w:sz="4" w:space="0" w:color="auto"/>
              <w:bottom w:val="single" w:sz="4" w:space="0" w:color="auto"/>
              <w:right w:val="single" w:sz="4" w:space="0" w:color="auto"/>
            </w:tcBorders>
          </w:tcPr>
          <w:p w14:paraId="1363AF96" w14:textId="77777777" w:rsidR="003738BA" w:rsidRDefault="003738BA" w:rsidP="003738BA">
            <w:r>
              <w:rPr>
                <w:b/>
                <w:bCs/>
                <w:i/>
                <w:iCs/>
              </w:rPr>
              <w:t>Gedrag (BPSD – ‘</w:t>
            </w:r>
            <w:proofErr w:type="spellStart"/>
            <w:r>
              <w:rPr>
                <w:b/>
                <w:bCs/>
                <w:i/>
                <w:iCs/>
              </w:rPr>
              <w:t>behavioralandpsychologicalsymptoms</w:t>
            </w:r>
            <w:proofErr w:type="spellEnd"/>
            <w:r>
              <w:rPr>
                <w:b/>
                <w:bCs/>
                <w:i/>
                <w:iCs/>
              </w:rPr>
              <w:t xml:space="preserve"> of dementia’)</w:t>
            </w:r>
            <w:r>
              <w:rPr>
                <w:b/>
                <w:i/>
              </w:rPr>
              <w:br/>
            </w:r>
          </w:p>
          <w:p w14:paraId="7253CC81" w14:textId="77777777" w:rsidR="003738BA" w:rsidRDefault="003738BA" w:rsidP="003738BA">
            <w:pPr>
              <w:spacing w:line="240" w:lineRule="auto"/>
            </w:pPr>
            <w:r>
              <w:t>.</w:t>
            </w:r>
          </w:p>
        </w:tc>
        <w:tc>
          <w:tcPr>
            <w:tcW w:w="4516" w:type="dxa"/>
            <w:tcBorders>
              <w:top w:val="single" w:sz="4" w:space="0" w:color="auto"/>
              <w:left w:val="single" w:sz="4" w:space="0" w:color="auto"/>
              <w:bottom w:val="single" w:sz="4" w:space="0" w:color="auto"/>
              <w:right w:val="single" w:sz="4" w:space="0" w:color="auto"/>
            </w:tcBorders>
          </w:tcPr>
          <w:p w14:paraId="13D967DA" w14:textId="77777777" w:rsidR="003738BA" w:rsidRDefault="003738BA" w:rsidP="003738BA">
            <w:r>
              <w:t xml:space="preserve">BPSD komt zeer frequent voor bij dementie. Zo treedt het op bij 80% van de patiënten met de ziekte van Alzheimer </w:t>
            </w:r>
            <w:r>
              <w:fldChar w:fldCharType="begin"/>
            </w:r>
            <w:r>
              <w:instrText xml:space="preserve"> ADDIN EN.CITE &lt;EndNote&gt;&lt;Cite&gt;&lt;Author&gt;Galvin&lt;/Author&gt;&lt;Year&gt;2012&lt;/Year&gt;&lt;IDText&gt;Practical guidelines for the recognition and diagnosis of dementia&lt;/IDText&gt;&lt;DisplayText&gt;(24)&lt;/DisplayText&gt;&lt;record&gt;&lt;dates&gt;&lt;pub-dates&gt;&lt;date&gt;2012 May-Jun&lt;/date&gt;&lt;/pub-dates&gt;&lt;year&gt;2012&lt;/year&gt;&lt;/dates&gt;&lt;keywords&gt;&lt;keyword&gt;Algorithms&lt;/keyword&gt;&lt;keyword&gt;Dementia&lt;/keyword&gt;&lt;keyword&gt;Diagnosis, Differential&lt;/keyword&gt;&lt;keyword&gt;Humans&lt;/keyword&gt;&lt;keyword&gt;Mass Screening&lt;/keyword&gt;&lt;keyword&gt;Primary Health Care&lt;/keyword&gt;&lt;keyword&gt;Psychometrics&lt;/keyword&gt;&lt;keyword&gt;Time Factors&lt;/keyword&gt;&lt;keyword&gt;United States&lt;/keyword&gt;&lt;/keywords&gt;&lt;urls&gt;&lt;related-urls&gt;&lt;url&gt;https://www.ncbi.nlm.nih.gov/pubmed/22570400&lt;/url&gt;&lt;/related-urls&gt;&lt;/urls&gt;&lt;isbn&gt;1557-2625&lt;/isbn&gt;&lt;titles&gt;&lt;title&gt;Practical guidelines for the recognition and diagnosis of dementia&lt;/title&gt;&lt;secondary-title&gt;J Am Board Fam Med&lt;/secondary-title&gt;&lt;/titles&gt;&lt;pages&gt;367-82&lt;/pages&gt;&lt;number&gt;3&lt;/number&gt;&lt;contributors&gt;&lt;authors&gt;&lt;author&gt;Galvin, J. E.&lt;/author&gt;&lt;author&gt;Sadowsky, C. H.&lt;/author&gt;&lt;author&gt;NINCDS-ADRDA&lt;/author&gt;&lt;/authors&gt;&lt;/contributors&gt;&lt;language&gt;eng&lt;/language&gt;&lt;added-date format="utc"&gt;1489242492&lt;/added-date&gt;&lt;ref-type name="Journal Article"&gt;17&lt;/ref-type&gt;&lt;rec-number&gt;27&lt;/rec-number&gt;&lt;last-updated-date format="utc"&gt;1489242492&lt;/last-updated-date&gt;&lt;accession-num&gt;22570400&lt;/accession-num&gt;&lt;electronic-resource-num&gt;10.3122/jabfm.2012.03.100181&lt;/electronic-resource-num&gt;&lt;volume&gt;25&lt;/volume&gt;&lt;/record&gt;&lt;/Cite&gt;&lt;/EndNote&gt;</w:instrText>
            </w:r>
            <w:r>
              <w:fldChar w:fldCharType="separate"/>
            </w:r>
            <w:r>
              <w:rPr>
                <w:noProof/>
              </w:rPr>
              <w:t>(24)</w:t>
            </w:r>
            <w:r>
              <w:fldChar w:fldCharType="end"/>
            </w:r>
            <w:r>
              <w:t xml:space="preserve">. Het treedt ook frequent op bij andere vormen van dementie. Voornamelijk </w:t>
            </w:r>
            <w:proofErr w:type="spellStart"/>
            <w:r>
              <w:t>Lewy</w:t>
            </w:r>
            <w:proofErr w:type="spellEnd"/>
            <w:r>
              <w:t xml:space="preserve"> Body Dementie en Parkinson dementie geven in een vroeg stadium frequent psychiatrische symptomen als hallucinaties, wanen, depressie en/of angst </w:t>
            </w:r>
            <w:r>
              <w:fldChar w:fldCharType="begin"/>
            </w:r>
            <w:r>
              <w:instrText xml:space="preserve"> ADDIN EN.CITE &lt;EndNote&gt;&lt;Cite&gt;&lt;Author&gt;Moll van Charante&lt;/Author&gt;&lt;Year&gt;2016&lt;/Year&gt;&lt;IDText&gt;NHG-Standaard Dementie (derde herziening)&lt;/IDText&gt;&lt;DisplayText&gt;(14)&lt;/DisplayText&gt;&lt;record&gt;&lt;urls&gt;&lt;related-urls&gt;&lt;url&gt;https://www.nhg.org/standaarden/volledig/nhg-standaard-dementie&lt;/url&gt;&lt;/related-urls&gt;&lt;/urls&gt;&lt;titles&gt;&lt;title&gt;NHG-Standaard Dementie (derde herziening)&lt;/title&gt;&lt;/titles&gt;&lt;contributors&gt;&lt;authors&gt;&lt;author&gt;Moll van Charante, E&lt;/author&gt;&lt;author&gt;Perry, M&lt;/author&gt;&lt;author&gt;Vernooij-Dassen, MJFJ&lt;/author&gt;&lt;author&gt;Boswijk, DFR&lt;/author&gt;&lt;author&gt;Stoffels, J&lt;/author&gt;&lt;author&gt;Achthoven, L&lt;/author&gt;&lt;author&gt;Luning-Koster, MN&lt;/author&gt;&lt;/authors&gt;&lt;/contributors&gt;&lt;added-date format="utc"&gt;1494585704&lt;/added-date&gt;&lt;ref-type name="Report"&gt;27&lt;/ref-type&gt;&lt;dates&gt;&lt;year&gt;2016&lt;/year&gt;&lt;/dates&gt;&lt;rec-number&gt;93&lt;/rec-number&gt;&lt;last-updated-date format="utc"&gt;1494586151&lt;/last-updated-date&gt;&lt;/record&gt;&lt;/Cite&gt;&lt;/EndNote&gt;</w:instrText>
            </w:r>
            <w:r>
              <w:fldChar w:fldCharType="separate"/>
            </w:r>
            <w:r>
              <w:rPr>
                <w:noProof/>
              </w:rPr>
              <w:t>(14)</w:t>
            </w:r>
            <w:r>
              <w:fldChar w:fldCharType="end"/>
            </w:r>
            <w:r>
              <w:t>.</w:t>
            </w:r>
          </w:p>
          <w:p w14:paraId="1671DAC2" w14:textId="77777777" w:rsidR="003738BA" w:rsidRDefault="003738BA" w:rsidP="003738BA">
            <w:pPr>
              <w:spacing w:line="240" w:lineRule="auto"/>
            </w:pPr>
            <w:r>
              <w:t>Indien er probleemgedrag is in de vroege fase van dementie, zijn dit nagenoeg altijd affectieve stoornissen (voornamelijk apathie en depressie).</w:t>
            </w:r>
          </w:p>
          <w:p w14:paraId="28E1FFAC" w14:textId="77777777" w:rsidR="003738BA" w:rsidRDefault="003738BA" w:rsidP="003738BA">
            <w:pPr>
              <w:spacing w:line="240" w:lineRule="auto"/>
            </w:pPr>
            <w:r>
              <w:t xml:space="preserve">Psychose, agitatie en agressie zien we later in het verloop van dementie </w:t>
            </w:r>
            <w:r>
              <w:fldChar w:fldCharType="begin"/>
            </w:r>
            <w:r>
              <w:instrText xml:space="preserve"> ADDIN EN.CITE &lt;EndNote&gt;&lt;Cite&gt;&lt;Author&gt;Moll van Charante&lt;/Author&gt;&lt;Year&gt;2016&lt;/Year&gt;&lt;IDText&gt;NHG-Standaard Dementie (derde herziening)&lt;/IDText&gt;&lt;DisplayText&gt;(14)&lt;/DisplayText&gt;&lt;record&gt;&lt;urls&gt;&lt;related-urls&gt;&lt;url&gt;https://www.nhg.org/standaarden/volledig/nhg-standaard-dementie&lt;/url&gt;&lt;/related-urls&gt;&lt;/urls&gt;&lt;titles&gt;&lt;title&gt;NHG-Standaard Dementie (derde herziening)&lt;/title&gt;&lt;/titles&gt;&lt;contributors&gt;&lt;authors&gt;&lt;author&gt;Moll van Charante, E&lt;/author&gt;&lt;author&gt;Perry, M&lt;/author&gt;&lt;author&gt;Vernooij-Dassen, MJFJ&lt;/author&gt;&lt;author&gt;Boswijk, DFR&lt;/author&gt;&lt;author&gt;Stoffels, J&lt;/author&gt;&lt;author&gt;Achthoven, L&lt;/author&gt;&lt;author&gt;Luning-Koster, MN&lt;/author&gt;&lt;/authors&gt;&lt;/contributors&gt;&lt;added-date format="utc"&gt;1494585704&lt;/added-date&gt;&lt;ref-type name="Report"&gt;27&lt;/ref-type&gt;&lt;dates&gt;&lt;year&gt;2016&lt;/year&gt;&lt;/dates&gt;&lt;rec-number&gt;93&lt;/rec-number&gt;&lt;last-updated-date format="utc"&gt;1494586151&lt;/last-updated-date&gt;&lt;/record&gt;&lt;/Cite&gt;&lt;/EndNote&gt;</w:instrText>
            </w:r>
            <w:r>
              <w:fldChar w:fldCharType="separate"/>
            </w:r>
            <w:r>
              <w:rPr>
                <w:noProof/>
              </w:rPr>
              <w:t>(14)</w:t>
            </w:r>
            <w:r>
              <w:fldChar w:fldCharType="end"/>
            </w:r>
          </w:p>
        </w:tc>
      </w:tr>
      <w:tr w:rsidR="003738BA" w14:paraId="6EC99B5E"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64AFFA30" w14:textId="77777777" w:rsidR="003738BA" w:rsidRDefault="003738BA">
            <w:pPr>
              <w:spacing w:line="240" w:lineRule="auto"/>
            </w:pPr>
            <w:r>
              <w:t>Onzekerheid</w:t>
            </w:r>
          </w:p>
        </w:tc>
        <w:tc>
          <w:tcPr>
            <w:tcW w:w="4516" w:type="dxa"/>
            <w:tcBorders>
              <w:top w:val="single" w:sz="4" w:space="0" w:color="auto"/>
              <w:left w:val="single" w:sz="4" w:space="0" w:color="auto"/>
              <w:bottom w:val="single" w:sz="4" w:space="0" w:color="auto"/>
              <w:right w:val="single" w:sz="4" w:space="0" w:color="auto"/>
            </w:tcBorders>
          </w:tcPr>
          <w:p w14:paraId="4E1DF840" w14:textId="77777777" w:rsidR="003738BA" w:rsidRDefault="003738BA">
            <w:pPr>
              <w:spacing w:line="240" w:lineRule="auto"/>
              <w:rPr>
                <w:b/>
              </w:rPr>
            </w:pPr>
          </w:p>
        </w:tc>
      </w:tr>
      <w:tr w:rsidR="003738BA" w14:paraId="29EE1244"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475A6979" w14:textId="77777777" w:rsidR="003738BA" w:rsidRDefault="003738BA">
            <w:pPr>
              <w:spacing w:line="240" w:lineRule="auto"/>
            </w:pPr>
            <w:r>
              <w:t>Prikkelbaarheid</w:t>
            </w:r>
          </w:p>
        </w:tc>
        <w:tc>
          <w:tcPr>
            <w:tcW w:w="4516" w:type="dxa"/>
            <w:tcBorders>
              <w:top w:val="single" w:sz="4" w:space="0" w:color="auto"/>
              <w:left w:val="single" w:sz="4" w:space="0" w:color="auto"/>
              <w:bottom w:val="single" w:sz="4" w:space="0" w:color="auto"/>
              <w:right w:val="single" w:sz="4" w:space="0" w:color="auto"/>
            </w:tcBorders>
          </w:tcPr>
          <w:p w14:paraId="728D1867" w14:textId="77777777" w:rsidR="003738BA" w:rsidRDefault="003738BA">
            <w:pPr>
              <w:spacing w:line="240" w:lineRule="auto"/>
              <w:rPr>
                <w:b/>
              </w:rPr>
            </w:pPr>
          </w:p>
        </w:tc>
      </w:tr>
      <w:tr w:rsidR="003738BA" w14:paraId="036CC3B4"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2D3F9571" w14:textId="77777777" w:rsidR="003738BA" w:rsidRDefault="003738BA">
            <w:pPr>
              <w:spacing w:line="240" w:lineRule="auto"/>
            </w:pPr>
            <w:r>
              <w:t>Zelfverwaarlozing</w:t>
            </w:r>
          </w:p>
        </w:tc>
        <w:tc>
          <w:tcPr>
            <w:tcW w:w="4516" w:type="dxa"/>
            <w:tcBorders>
              <w:top w:val="single" w:sz="4" w:space="0" w:color="auto"/>
              <w:left w:val="single" w:sz="4" w:space="0" w:color="auto"/>
              <w:bottom w:val="single" w:sz="4" w:space="0" w:color="auto"/>
              <w:right w:val="single" w:sz="4" w:space="0" w:color="auto"/>
            </w:tcBorders>
            <w:hideMark/>
          </w:tcPr>
          <w:p w14:paraId="7B54E89D" w14:textId="77777777" w:rsidR="003738BA" w:rsidRDefault="003738BA">
            <w:pPr>
              <w:spacing w:line="240" w:lineRule="auto"/>
            </w:pPr>
            <w:r>
              <w:t>Verminderde interesse in hygiëne en/of kleding en/of maaltijdbereiding</w:t>
            </w:r>
            <w:r>
              <w:br/>
              <w:t>(</w:t>
            </w:r>
            <w:proofErr w:type="spellStart"/>
            <w:r>
              <w:t>frontotemporaaldementie</w:t>
            </w:r>
            <w:proofErr w:type="spellEnd"/>
            <w:r>
              <w:t>)</w:t>
            </w:r>
          </w:p>
        </w:tc>
      </w:tr>
      <w:tr w:rsidR="003738BA" w14:paraId="7835CBDF"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7E9C7CD2" w14:textId="77777777" w:rsidR="003738BA" w:rsidRDefault="003738BA">
            <w:pPr>
              <w:spacing w:line="240" w:lineRule="auto"/>
            </w:pPr>
            <w:r>
              <w:lastRenderedPageBreak/>
              <w:t>Apathie</w:t>
            </w:r>
          </w:p>
        </w:tc>
        <w:tc>
          <w:tcPr>
            <w:tcW w:w="4516" w:type="dxa"/>
            <w:tcBorders>
              <w:top w:val="single" w:sz="4" w:space="0" w:color="auto"/>
              <w:left w:val="single" w:sz="4" w:space="0" w:color="auto"/>
              <w:bottom w:val="single" w:sz="4" w:space="0" w:color="auto"/>
              <w:right w:val="single" w:sz="4" w:space="0" w:color="auto"/>
            </w:tcBorders>
            <w:hideMark/>
          </w:tcPr>
          <w:p w14:paraId="546D797A" w14:textId="77777777" w:rsidR="003738BA" w:rsidRDefault="003738BA">
            <w:pPr>
              <w:spacing w:line="240" w:lineRule="auto"/>
            </w:pPr>
            <w:r>
              <w:t xml:space="preserve">Patiënt is lusteloos, onverschillig, neemt zelf geen initiatief meer en kan zich terugtrekken uit sociale activiteiten. Minder interesse in andere personen. </w:t>
            </w:r>
          </w:p>
          <w:p w14:paraId="06DA1A76" w14:textId="77777777" w:rsidR="003738BA" w:rsidRDefault="003738BA">
            <w:pPr>
              <w:spacing w:line="240" w:lineRule="auto"/>
            </w:pPr>
            <w:r>
              <w:t>(</w:t>
            </w:r>
            <w:proofErr w:type="spellStart"/>
            <w:proofErr w:type="gramStart"/>
            <w:r>
              <w:t>frontotemporaaldementie</w:t>
            </w:r>
            <w:proofErr w:type="spellEnd"/>
            <w:proofErr w:type="gramEnd"/>
            <w:r>
              <w:t>, ziekte van Alzheimer)</w:t>
            </w:r>
          </w:p>
        </w:tc>
      </w:tr>
      <w:tr w:rsidR="003738BA" w14:paraId="6CFA9A46"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42DB3441" w14:textId="77777777" w:rsidR="003738BA" w:rsidRDefault="003738BA">
            <w:pPr>
              <w:spacing w:line="240" w:lineRule="auto"/>
            </w:pPr>
            <w:r>
              <w:t>Verminderde empathie</w:t>
            </w:r>
          </w:p>
        </w:tc>
        <w:tc>
          <w:tcPr>
            <w:tcW w:w="4516" w:type="dxa"/>
            <w:tcBorders>
              <w:top w:val="single" w:sz="4" w:space="0" w:color="auto"/>
              <w:left w:val="single" w:sz="4" w:space="0" w:color="auto"/>
              <w:bottom w:val="single" w:sz="4" w:space="0" w:color="auto"/>
              <w:right w:val="single" w:sz="4" w:space="0" w:color="auto"/>
            </w:tcBorders>
            <w:hideMark/>
          </w:tcPr>
          <w:p w14:paraId="6E708065" w14:textId="77777777" w:rsidR="003738BA" w:rsidRDefault="003738BA">
            <w:pPr>
              <w:spacing w:line="240" w:lineRule="auto"/>
            </w:pPr>
            <w:r>
              <w:t>Bemoeilijkt de omgang met anderen</w:t>
            </w:r>
            <w:r>
              <w:br/>
              <w:t>(</w:t>
            </w:r>
            <w:proofErr w:type="spellStart"/>
            <w:r>
              <w:t>frontotemporaaldementie</w:t>
            </w:r>
            <w:proofErr w:type="spellEnd"/>
            <w:r>
              <w:t>)</w:t>
            </w:r>
          </w:p>
        </w:tc>
      </w:tr>
      <w:tr w:rsidR="003738BA" w14:paraId="49CF2AA0"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64FD6BBC" w14:textId="77777777" w:rsidR="003738BA" w:rsidRDefault="003738BA">
            <w:pPr>
              <w:spacing w:line="240" w:lineRule="auto"/>
            </w:pPr>
            <w:r>
              <w:t xml:space="preserve">Verlies van inzicht </w:t>
            </w:r>
          </w:p>
        </w:tc>
        <w:tc>
          <w:tcPr>
            <w:tcW w:w="4516" w:type="dxa"/>
            <w:tcBorders>
              <w:top w:val="single" w:sz="4" w:space="0" w:color="auto"/>
              <w:left w:val="single" w:sz="4" w:space="0" w:color="auto"/>
              <w:bottom w:val="single" w:sz="4" w:space="0" w:color="auto"/>
              <w:right w:val="single" w:sz="4" w:space="0" w:color="auto"/>
            </w:tcBorders>
            <w:hideMark/>
          </w:tcPr>
          <w:p w14:paraId="691AF252" w14:textId="77777777" w:rsidR="003738BA" w:rsidRDefault="003738BA">
            <w:pPr>
              <w:spacing w:line="240" w:lineRule="auto"/>
            </w:pPr>
            <w:r>
              <w:t>(</w:t>
            </w:r>
            <w:proofErr w:type="spellStart"/>
            <w:proofErr w:type="gramStart"/>
            <w:r>
              <w:t>frontotemporaaldementie</w:t>
            </w:r>
            <w:proofErr w:type="spellEnd"/>
            <w:proofErr w:type="gramEnd"/>
            <w:r>
              <w:t>)</w:t>
            </w:r>
          </w:p>
        </w:tc>
      </w:tr>
      <w:tr w:rsidR="003738BA" w14:paraId="0D21A8BF"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2BA3191D" w14:textId="77777777" w:rsidR="003738BA" w:rsidRDefault="003738BA">
            <w:pPr>
              <w:spacing w:line="240" w:lineRule="auto"/>
            </w:pPr>
            <w:r>
              <w:t xml:space="preserve">Veranderingen in persoonlijkheid </w:t>
            </w:r>
          </w:p>
        </w:tc>
        <w:tc>
          <w:tcPr>
            <w:tcW w:w="4516" w:type="dxa"/>
            <w:tcBorders>
              <w:top w:val="single" w:sz="4" w:space="0" w:color="auto"/>
              <w:left w:val="single" w:sz="4" w:space="0" w:color="auto"/>
              <w:bottom w:val="single" w:sz="4" w:space="0" w:color="auto"/>
              <w:right w:val="single" w:sz="4" w:space="0" w:color="auto"/>
            </w:tcBorders>
          </w:tcPr>
          <w:p w14:paraId="2B0730F9" w14:textId="77777777" w:rsidR="003738BA" w:rsidRDefault="003738BA">
            <w:pPr>
              <w:spacing w:line="240" w:lineRule="auto"/>
            </w:pPr>
            <w:r>
              <w:t>Disinhibitie, verminderde empathie, toegenomen impulsiviteit en stereotiepe gedragingen kunnen leiden tot een moeizaam sociaal functioneren</w:t>
            </w:r>
          </w:p>
          <w:p w14:paraId="4DEE8637" w14:textId="77777777" w:rsidR="003738BA" w:rsidRDefault="003738BA">
            <w:pPr>
              <w:spacing w:line="240" w:lineRule="auto"/>
            </w:pPr>
          </w:p>
          <w:p w14:paraId="529FC9F1" w14:textId="77777777" w:rsidR="003738BA" w:rsidRDefault="003738BA">
            <w:pPr>
              <w:spacing w:line="240" w:lineRule="auto"/>
            </w:pPr>
            <w:r>
              <w:t xml:space="preserve">Vooral bij preseniele dementie en </w:t>
            </w:r>
            <w:proofErr w:type="spellStart"/>
            <w:r>
              <w:t>frontotemporaaldementie</w:t>
            </w:r>
            <w:proofErr w:type="spellEnd"/>
            <w:r>
              <w:t xml:space="preserve"> komen persoonlijkheidsveranderingen (naast een verandering in het gedrag en functioneren) vaker voor in de vroege fase</w:t>
            </w:r>
          </w:p>
          <w:p w14:paraId="5712F3D9" w14:textId="77777777" w:rsidR="003738BA" w:rsidRDefault="003738BA">
            <w:pPr>
              <w:spacing w:line="240" w:lineRule="auto"/>
            </w:pPr>
            <w:r>
              <w:t> </w:t>
            </w:r>
            <w:r>
              <w:br/>
              <w:t>(</w:t>
            </w:r>
            <w:proofErr w:type="spellStart"/>
            <w:proofErr w:type="gramStart"/>
            <w:r>
              <w:t>frontotemporaaldementie</w:t>
            </w:r>
            <w:proofErr w:type="spellEnd"/>
            <w:proofErr w:type="gramEnd"/>
            <w:r>
              <w:t>)</w:t>
            </w:r>
          </w:p>
        </w:tc>
      </w:tr>
      <w:tr w:rsidR="003738BA" w14:paraId="0540B047"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5F5363DA" w14:textId="77777777" w:rsidR="003738BA" w:rsidRDefault="003738BA">
            <w:pPr>
              <w:spacing w:line="240" w:lineRule="auto"/>
            </w:pPr>
            <w:r>
              <w:t>Oordeels- en kritiekstoornissen</w:t>
            </w:r>
          </w:p>
        </w:tc>
        <w:tc>
          <w:tcPr>
            <w:tcW w:w="4516" w:type="dxa"/>
            <w:tcBorders>
              <w:top w:val="single" w:sz="4" w:space="0" w:color="auto"/>
              <w:left w:val="single" w:sz="4" w:space="0" w:color="auto"/>
              <w:bottom w:val="single" w:sz="4" w:space="0" w:color="auto"/>
              <w:right w:val="single" w:sz="4" w:space="0" w:color="auto"/>
            </w:tcBorders>
            <w:hideMark/>
          </w:tcPr>
          <w:p w14:paraId="1D2A9271" w14:textId="77777777" w:rsidR="003738BA" w:rsidRDefault="003738BA">
            <w:pPr>
              <w:spacing w:line="240" w:lineRule="auto"/>
            </w:pPr>
            <w:r>
              <w:t>Bij aantasting van de frontale kwab</w:t>
            </w:r>
            <w:r>
              <w:br/>
              <w:t>(</w:t>
            </w:r>
            <w:proofErr w:type="spellStart"/>
            <w:r>
              <w:t>frontotemporaaldementie</w:t>
            </w:r>
            <w:proofErr w:type="spellEnd"/>
            <w:r>
              <w:t>)</w:t>
            </w:r>
          </w:p>
        </w:tc>
      </w:tr>
      <w:tr w:rsidR="003738BA" w14:paraId="7B821926"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1DB74240" w14:textId="77777777" w:rsidR="003738BA" w:rsidRDefault="003738BA">
            <w:pPr>
              <w:spacing w:line="240" w:lineRule="auto"/>
            </w:pPr>
            <w:r>
              <w:t>Impulscontroleverlies (disinhibitie)</w:t>
            </w:r>
          </w:p>
        </w:tc>
        <w:tc>
          <w:tcPr>
            <w:tcW w:w="4516" w:type="dxa"/>
            <w:tcBorders>
              <w:top w:val="single" w:sz="4" w:space="0" w:color="auto"/>
              <w:left w:val="single" w:sz="4" w:space="0" w:color="auto"/>
              <w:bottom w:val="single" w:sz="4" w:space="0" w:color="auto"/>
              <w:right w:val="single" w:sz="4" w:space="0" w:color="auto"/>
            </w:tcBorders>
          </w:tcPr>
          <w:p w14:paraId="1A755C68" w14:textId="77777777" w:rsidR="003738BA" w:rsidRDefault="003738BA">
            <w:pPr>
              <w:spacing w:line="240" w:lineRule="auto"/>
            </w:pPr>
            <w:r>
              <w:t>Verlies van manieren, toegenomen impulsiviteit, extrovert gedrag, ongepast seksueel gedrag</w:t>
            </w:r>
          </w:p>
          <w:p w14:paraId="2366BC61" w14:textId="77777777" w:rsidR="003738BA" w:rsidRDefault="003738BA">
            <w:pPr>
              <w:spacing w:line="240" w:lineRule="auto"/>
            </w:pPr>
          </w:p>
          <w:p w14:paraId="37558A5D" w14:textId="77777777" w:rsidR="003738BA" w:rsidRDefault="003738BA">
            <w:pPr>
              <w:spacing w:line="240" w:lineRule="auto"/>
            </w:pPr>
            <w:r>
              <w:t>Bij aantasting van de frontale kwab</w:t>
            </w:r>
          </w:p>
          <w:p w14:paraId="67A9E34E" w14:textId="77777777" w:rsidR="003738BA" w:rsidRDefault="003738BA">
            <w:pPr>
              <w:spacing w:line="240" w:lineRule="auto"/>
            </w:pPr>
            <w:r>
              <w:t>(</w:t>
            </w:r>
            <w:proofErr w:type="spellStart"/>
            <w:proofErr w:type="gramStart"/>
            <w:r>
              <w:t>frontotemporaaldementie</w:t>
            </w:r>
            <w:proofErr w:type="spellEnd"/>
            <w:proofErr w:type="gramEnd"/>
            <w:r>
              <w:t>)</w:t>
            </w:r>
          </w:p>
        </w:tc>
      </w:tr>
      <w:tr w:rsidR="003738BA" w14:paraId="5DAA694B"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490BC3A3" w14:textId="77777777" w:rsidR="003738BA" w:rsidRDefault="003738BA">
            <w:pPr>
              <w:spacing w:line="240" w:lineRule="auto"/>
            </w:pPr>
            <w:r>
              <w:t xml:space="preserve">Depressie </w:t>
            </w:r>
          </w:p>
        </w:tc>
        <w:tc>
          <w:tcPr>
            <w:tcW w:w="4516" w:type="dxa"/>
            <w:tcBorders>
              <w:top w:val="single" w:sz="4" w:space="0" w:color="auto"/>
              <w:left w:val="single" w:sz="4" w:space="0" w:color="auto"/>
              <w:bottom w:val="single" w:sz="4" w:space="0" w:color="auto"/>
              <w:right w:val="single" w:sz="4" w:space="0" w:color="auto"/>
            </w:tcBorders>
            <w:hideMark/>
          </w:tcPr>
          <w:p w14:paraId="635D0F5E" w14:textId="77777777" w:rsidR="003738BA" w:rsidRDefault="003738BA">
            <w:pPr>
              <w:spacing w:line="240" w:lineRule="auto"/>
            </w:pPr>
            <w:proofErr w:type="gramStart"/>
            <w:r>
              <w:t>DD apathie</w:t>
            </w:r>
            <w:proofErr w:type="gramEnd"/>
            <w:r>
              <w:t>: bij depressie heerst er ook een sombere stemming</w:t>
            </w:r>
          </w:p>
          <w:p w14:paraId="04236A1C" w14:textId="77777777" w:rsidR="003738BA" w:rsidRDefault="003738BA">
            <w:pPr>
              <w:spacing w:line="240" w:lineRule="auto"/>
            </w:pPr>
            <w:r>
              <w:t>(</w:t>
            </w:r>
            <w:proofErr w:type="gramStart"/>
            <w:r>
              <w:t>dementie</w:t>
            </w:r>
            <w:proofErr w:type="gramEnd"/>
            <w:r>
              <w:t xml:space="preserve"> met </w:t>
            </w:r>
            <w:proofErr w:type="spellStart"/>
            <w:r>
              <w:t>LewyBodies</w:t>
            </w:r>
            <w:proofErr w:type="spellEnd"/>
            <w:r>
              <w:t>)</w:t>
            </w:r>
          </w:p>
        </w:tc>
      </w:tr>
      <w:tr w:rsidR="003738BA" w14:paraId="49DBD661"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6D965A21" w14:textId="77777777" w:rsidR="003738BA" w:rsidRDefault="003738BA">
            <w:pPr>
              <w:spacing w:line="240" w:lineRule="auto"/>
            </w:pPr>
            <w:r>
              <w:t>Wanen</w:t>
            </w:r>
          </w:p>
        </w:tc>
        <w:tc>
          <w:tcPr>
            <w:tcW w:w="4516" w:type="dxa"/>
            <w:tcBorders>
              <w:top w:val="single" w:sz="4" w:space="0" w:color="auto"/>
              <w:left w:val="single" w:sz="4" w:space="0" w:color="auto"/>
              <w:bottom w:val="single" w:sz="4" w:space="0" w:color="auto"/>
              <w:right w:val="single" w:sz="4" w:space="0" w:color="auto"/>
            </w:tcBorders>
            <w:hideMark/>
          </w:tcPr>
          <w:p w14:paraId="3C0C95CE" w14:textId="77777777" w:rsidR="003738BA" w:rsidRDefault="003738BA">
            <w:pPr>
              <w:spacing w:line="240" w:lineRule="auto"/>
            </w:pPr>
            <w:r>
              <w:t>(</w:t>
            </w:r>
            <w:proofErr w:type="gramStart"/>
            <w:r>
              <w:t>dementie</w:t>
            </w:r>
            <w:proofErr w:type="gramEnd"/>
            <w:r>
              <w:t xml:space="preserve"> met </w:t>
            </w:r>
            <w:proofErr w:type="spellStart"/>
            <w:r>
              <w:t>LewyBodies</w:t>
            </w:r>
            <w:proofErr w:type="spellEnd"/>
            <w:r>
              <w:t>, Parkinsondementie)</w:t>
            </w:r>
          </w:p>
        </w:tc>
      </w:tr>
      <w:tr w:rsidR="003738BA" w14:paraId="7E00DB0E"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11BC1937" w14:textId="77777777" w:rsidR="003738BA" w:rsidRDefault="003738BA">
            <w:pPr>
              <w:spacing w:line="240" w:lineRule="auto"/>
            </w:pPr>
            <w:r>
              <w:t>Visuele hallucinaties</w:t>
            </w:r>
          </w:p>
        </w:tc>
        <w:tc>
          <w:tcPr>
            <w:tcW w:w="4516" w:type="dxa"/>
            <w:tcBorders>
              <w:top w:val="single" w:sz="4" w:space="0" w:color="auto"/>
              <w:left w:val="single" w:sz="4" w:space="0" w:color="auto"/>
              <w:bottom w:val="single" w:sz="4" w:space="0" w:color="auto"/>
              <w:right w:val="single" w:sz="4" w:space="0" w:color="auto"/>
            </w:tcBorders>
            <w:hideMark/>
          </w:tcPr>
          <w:p w14:paraId="781FFB83" w14:textId="77777777" w:rsidR="003738BA" w:rsidRDefault="003738BA">
            <w:pPr>
              <w:spacing w:line="240" w:lineRule="auto"/>
            </w:pPr>
            <w:r>
              <w:t xml:space="preserve">Zeer gedetailleerde visuele hallucinaties. </w:t>
            </w:r>
            <w:r>
              <w:br/>
              <w:t>(</w:t>
            </w:r>
            <w:proofErr w:type="gramStart"/>
            <w:r>
              <w:t>dementie</w:t>
            </w:r>
            <w:proofErr w:type="gramEnd"/>
            <w:r>
              <w:t xml:space="preserve"> met </w:t>
            </w:r>
            <w:proofErr w:type="spellStart"/>
            <w:r>
              <w:t>LewyBodies</w:t>
            </w:r>
            <w:proofErr w:type="spellEnd"/>
            <w:r>
              <w:t>, Parkinsondementie)</w:t>
            </w:r>
          </w:p>
        </w:tc>
      </w:tr>
      <w:tr w:rsidR="003738BA" w14:paraId="4E7AB337"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01E09BB4" w14:textId="77777777" w:rsidR="003738BA" w:rsidRDefault="003738BA">
            <w:pPr>
              <w:spacing w:line="240" w:lineRule="auto"/>
            </w:pPr>
            <w:r>
              <w:t>Angst</w:t>
            </w:r>
          </w:p>
        </w:tc>
        <w:tc>
          <w:tcPr>
            <w:tcW w:w="4516" w:type="dxa"/>
            <w:tcBorders>
              <w:top w:val="single" w:sz="4" w:space="0" w:color="auto"/>
              <w:left w:val="single" w:sz="4" w:space="0" w:color="auto"/>
              <w:bottom w:val="single" w:sz="4" w:space="0" w:color="auto"/>
              <w:right w:val="single" w:sz="4" w:space="0" w:color="auto"/>
            </w:tcBorders>
            <w:hideMark/>
          </w:tcPr>
          <w:p w14:paraId="20C2065C" w14:textId="77777777" w:rsidR="003738BA" w:rsidRDefault="003738BA">
            <w:pPr>
              <w:spacing w:line="240" w:lineRule="auto"/>
            </w:pPr>
            <w:r>
              <w:t>(</w:t>
            </w:r>
            <w:proofErr w:type="gramStart"/>
            <w:r>
              <w:t>dementie</w:t>
            </w:r>
            <w:proofErr w:type="gramEnd"/>
            <w:r>
              <w:t xml:space="preserve"> met </w:t>
            </w:r>
            <w:proofErr w:type="spellStart"/>
            <w:r>
              <w:t>LewyBodies</w:t>
            </w:r>
            <w:proofErr w:type="spellEnd"/>
            <w:r>
              <w:t>, Parkinsondementie)</w:t>
            </w:r>
          </w:p>
        </w:tc>
      </w:tr>
      <w:tr w:rsidR="003738BA" w14:paraId="136B963C"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543A33E0" w14:textId="77777777" w:rsidR="003738BA" w:rsidRDefault="003738BA">
            <w:pPr>
              <w:spacing w:line="240" w:lineRule="auto"/>
            </w:pPr>
            <w:r>
              <w:t>Loop- en evenwichtsstoornissen</w:t>
            </w:r>
          </w:p>
        </w:tc>
        <w:tc>
          <w:tcPr>
            <w:tcW w:w="4516" w:type="dxa"/>
            <w:tcBorders>
              <w:top w:val="single" w:sz="4" w:space="0" w:color="auto"/>
              <w:left w:val="single" w:sz="4" w:space="0" w:color="auto"/>
              <w:bottom w:val="single" w:sz="4" w:space="0" w:color="auto"/>
              <w:right w:val="single" w:sz="4" w:space="0" w:color="auto"/>
            </w:tcBorders>
          </w:tcPr>
          <w:p w14:paraId="57E4EB9F" w14:textId="77777777" w:rsidR="003738BA" w:rsidRDefault="003738BA">
            <w:pPr>
              <w:spacing w:line="240" w:lineRule="auto"/>
            </w:pPr>
            <w:r>
              <w:t>Al dan niet met valepisodes.</w:t>
            </w:r>
          </w:p>
          <w:p w14:paraId="04300509" w14:textId="77777777" w:rsidR="003738BA" w:rsidRDefault="003738BA">
            <w:pPr>
              <w:spacing w:line="240" w:lineRule="auto"/>
            </w:pPr>
          </w:p>
          <w:p w14:paraId="413DEEAE" w14:textId="77777777" w:rsidR="003738BA" w:rsidRDefault="003738BA">
            <w:pPr>
              <w:spacing w:line="240" w:lineRule="auto"/>
            </w:pPr>
            <w:r>
              <w:t>Treedt vooral op bij niet-</w:t>
            </w:r>
            <w:proofErr w:type="spellStart"/>
            <w:r>
              <w:t>Alzheimerdementieën</w:t>
            </w:r>
            <w:proofErr w:type="spellEnd"/>
            <w:r>
              <w:t xml:space="preserve"> Enkel in een late fase van de ziekte van Alzheimer (25%) treedt dit op</w:t>
            </w:r>
            <w:r>
              <w:br/>
            </w:r>
            <w:r>
              <w:br/>
              <w:t xml:space="preserve">Kenmerkende rigiditeit bij Parkinsondementie en dementie met </w:t>
            </w:r>
            <w:proofErr w:type="spellStart"/>
            <w:r>
              <w:t>LewyBodies</w:t>
            </w:r>
            <w:proofErr w:type="spellEnd"/>
            <w:r>
              <w:t xml:space="preserve">. </w:t>
            </w:r>
          </w:p>
          <w:p w14:paraId="7FFA5CD4" w14:textId="77777777" w:rsidR="003738BA" w:rsidRDefault="003738BA">
            <w:pPr>
              <w:spacing w:line="240" w:lineRule="auto"/>
            </w:pPr>
          </w:p>
          <w:p w14:paraId="42C82621" w14:textId="77777777" w:rsidR="003738BA" w:rsidRDefault="003738BA">
            <w:pPr>
              <w:spacing w:line="240" w:lineRule="auto"/>
              <w:rPr>
                <w:lang w:val="fr-FR"/>
              </w:rPr>
            </w:pPr>
            <w:r>
              <w:t xml:space="preserve">Bij vasculaire dementie komt ataxie het meest voor. </w:t>
            </w:r>
            <w:r>
              <w:br/>
            </w:r>
            <w:r>
              <w:br/>
            </w:r>
            <w:r>
              <w:rPr>
                <w:lang w:val="fr-FR"/>
              </w:rPr>
              <w:lastRenderedPageBreak/>
              <w:t xml:space="preserve">(Vasculaire </w:t>
            </w:r>
            <w:proofErr w:type="spellStart"/>
            <w:r>
              <w:rPr>
                <w:lang w:val="fr-FR"/>
              </w:rPr>
              <w:t>dementie</w:t>
            </w:r>
            <w:proofErr w:type="spellEnd"/>
            <w:r>
              <w:rPr>
                <w:lang w:val="fr-FR"/>
              </w:rPr>
              <w:t xml:space="preserve">, </w:t>
            </w:r>
            <w:proofErr w:type="spellStart"/>
            <w:r>
              <w:rPr>
                <w:lang w:val="fr-FR"/>
              </w:rPr>
              <w:t>Parkinsondementie</w:t>
            </w:r>
            <w:proofErr w:type="spellEnd"/>
            <w:r>
              <w:rPr>
                <w:lang w:val="fr-FR"/>
              </w:rPr>
              <w:t xml:space="preserve">, </w:t>
            </w:r>
            <w:proofErr w:type="spellStart"/>
            <w:r>
              <w:rPr>
                <w:lang w:val="fr-FR"/>
              </w:rPr>
              <w:t>dementie</w:t>
            </w:r>
            <w:proofErr w:type="spellEnd"/>
            <w:r>
              <w:rPr>
                <w:lang w:val="fr-FR"/>
              </w:rPr>
              <w:t xml:space="preserve"> met </w:t>
            </w:r>
            <w:proofErr w:type="spellStart"/>
            <w:r>
              <w:rPr>
                <w:lang w:val="fr-FR"/>
              </w:rPr>
              <w:t>LewyBodies</w:t>
            </w:r>
            <w:proofErr w:type="spellEnd"/>
            <w:r>
              <w:rPr>
                <w:lang w:val="fr-FR"/>
              </w:rPr>
              <w:t>)</w:t>
            </w:r>
          </w:p>
        </w:tc>
      </w:tr>
      <w:tr w:rsidR="003738BA" w14:paraId="62E1D302"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216F31E6" w14:textId="77777777" w:rsidR="003738BA" w:rsidRDefault="003738BA">
            <w:pPr>
              <w:spacing w:line="240" w:lineRule="auto"/>
            </w:pPr>
            <w:r>
              <w:lastRenderedPageBreak/>
              <w:t>Verhoogde vatbaarheid voor delier</w:t>
            </w:r>
          </w:p>
        </w:tc>
        <w:tc>
          <w:tcPr>
            <w:tcW w:w="4516" w:type="dxa"/>
            <w:tcBorders>
              <w:top w:val="single" w:sz="4" w:space="0" w:color="auto"/>
              <w:left w:val="single" w:sz="4" w:space="0" w:color="auto"/>
              <w:bottom w:val="single" w:sz="4" w:space="0" w:color="auto"/>
              <w:right w:val="single" w:sz="4" w:space="0" w:color="auto"/>
            </w:tcBorders>
            <w:hideMark/>
          </w:tcPr>
          <w:p w14:paraId="41D9FD93" w14:textId="77777777" w:rsidR="003738BA" w:rsidRDefault="003738BA">
            <w:pPr>
              <w:spacing w:line="240" w:lineRule="auto"/>
            </w:pPr>
            <w:r>
              <w:t xml:space="preserve">Mensen met een beperkte cognitieve reserve hebben een verhoogde vatbaarheid voor delier. Bv. bij een verandering van omgeving (bijvoorbeeld ziekenhuisopname), opstarten van medicatie enz. </w:t>
            </w:r>
          </w:p>
        </w:tc>
      </w:tr>
      <w:tr w:rsidR="003738BA" w14:paraId="714BCB7C"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0C68CF11" w14:textId="77777777" w:rsidR="003738BA" w:rsidRDefault="003738BA">
            <w:pPr>
              <w:spacing w:line="240" w:lineRule="auto"/>
            </w:pPr>
            <w:r>
              <w:t>Opstarten van bepaalde soorten medicatie</w:t>
            </w:r>
          </w:p>
        </w:tc>
        <w:tc>
          <w:tcPr>
            <w:tcW w:w="4516" w:type="dxa"/>
            <w:tcBorders>
              <w:top w:val="single" w:sz="4" w:space="0" w:color="auto"/>
              <w:left w:val="single" w:sz="4" w:space="0" w:color="auto"/>
              <w:bottom w:val="single" w:sz="4" w:space="0" w:color="auto"/>
              <w:right w:val="single" w:sz="4" w:space="0" w:color="auto"/>
            </w:tcBorders>
            <w:hideMark/>
          </w:tcPr>
          <w:p w14:paraId="2BDC82C3" w14:textId="77777777" w:rsidR="003738BA" w:rsidRDefault="003738BA">
            <w:pPr>
              <w:spacing w:line="240" w:lineRule="auto"/>
            </w:pPr>
            <w:r>
              <w:t>Anticholinergica kunnen bij patiënten met een verminderde cognitieve reserve leiden tot een plotse cognitieve achteruitgang</w:t>
            </w:r>
            <w:r>
              <w:br/>
            </w:r>
          </w:p>
          <w:p w14:paraId="45914689" w14:textId="77777777" w:rsidR="003738BA" w:rsidRDefault="003738BA">
            <w:pPr>
              <w:spacing w:line="240" w:lineRule="auto"/>
            </w:pPr>
            <w:r>
              <w:t xml:space="preserve">Antipsychotica kunnen bij patiënten met een beginnende </w:t>
            </w:r>
            <w:proofErr w:type="spellStart"/>
            <w:r>
              <w:t>Lewy</w:t>
            </w:r>
            <w:proofErr w:type="spellEnd"/>
            <w:r>
              <w:t xml:space="preserve"> Body dementie (en Parkinsondementie) leiden tot acute </w:t>
            </w:r>
            <w:proofErr w:type="spellStart"/>
            <w:r>
              <w:t>extra-piramidale</w:t>
            </w:r>
            <w:proofErr w:type="spellEnd"/>
            <w:r>
              <w:t xml:space="preserve"> verschijnselen (rigiditeit, </w:t>
            </w:r>
            <w:proofErr w:type="gramStart"/>
            <w:r>
              <w:t>tremor,…</w:t>
            </w:r>
            <w:proofErr w:type="gramEnd"/>
            <w:r>
              <w:t xml:space="preserve">) </w:t>
            </w:r>
            <w:r>
              <w:br/>
            </w:r>
          </w:p>
        </w:tc>
      </w:tr>
      <w:tr w:rsidR="003738BA" w14:paraId="7F0BCE5D"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03CA4C76" w14:textId="77777777" w:rsidR="003738BA" w:rsidRDefault="003738BA">
            <w:pPr>
              <w:spacing w:line="240" w:lineRule="auto"/>
            </w:pPr>
            <w:r>
              <w:t xml:space="preserve">Verminderde zelfredzaamheid </w:t>
            </w:r>
          </w:p>
        </w:tc>
        <w:tc>
          <w:tcPr>
            <w:tcW w:w="4516" w:type="dxa"/>
            <w:tcBorders>
              <w:top w:val="single" w:sz="4" w:space="0" w:color="auto"/>
              <w:left w:val="single" w:sz="4" w:space="0" w:color="auto"/>
              <w:bottom w:val="single" w:sz="4" w:space="0" w:color="auto"/>
              <w:right w:val="single" w:sz="4" w:space="0" w:color="auto"/>
            </w:tcBorders>
            <w:hideMark/>
          </w:tcPr>
          <w:p w14:paraId="02E3FA73" w14:textId="77777777" w:rsidR="003738BA" w:rsidRDefault="003738BA">
            <w:pPr>
              <w:spacing w:line="240" w:lineRule="auto"/>
            </w:pPr>
            <w:proofErr w:type="gramStart"/>
            <w:r>
              <w:t>bijvoorbeeld</w:t>
            </w:r>
            <w:proofErr w:type="gramEnd"/>
            <w:r>
              <w:t xml:space="preserve"> paniekreactie nadat partner op vakantie vertrekt of uitvalt wegens ziekte</w:t>
            </w:r>
          </w:p>
        </w:tc>
      </w:tr>
      <w:tr w:rsidR="003738BA" w14:paraId="199315A8"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02F8B5A9" w14:textId="77777777" w:rsidR="003738BA" w:rsidRDefault="003738BA">
            <w:pPr>
              <w:spacing w:line="240" w:lineRule="auto"/>
            </w:pPr>
            <w:proofErr w:type="spellStart"/>
            <w:r>
              <w:t>Frailty</w:t>
            </w:r>
            <w:proofErr w:type="spellEnd"/>
          </w:p>
        </w:tc>
        <w:tc>
          <w:tcPr>
            <w:tcW w:w="4516" w:type="dxa"/>
            <w:tcBorders>
              <w:top w:val="single" w:sz="4" w:space="0" w:color="auto"/>
              <w:left w:val="single" w:sz="4" w:space="0" w:color="auto"/>
              <w:bottom w:val="single" w:sz="4" w:space="0" w:color="auto"/>
              <w:right w:val="single" w:sz="4" w:space="0" w:color="auto"/>
            </w:tcBorders>
          </w:tcPr>
          <w:p w14:paraId="1A5DBFC8" w14:textId="77777777" w:rsidR="003738BA" w:rsidRDefault="003738BA">
            <w:pPr>
              <w:spacing w:line="240" w:lineRule="auto"/>
              <w:rPr>
                <w:b/>
              </w:rPr>
            </w:pPr>
          </w:p>
        </w:tc>
      </w:tr>
      <w:tr w:rsidR="003738BA" w14:paraId="28455557"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3AB288C7" w14:textId="77777777" w:rsidR="003738BA" w:rsidRDefault="003738BA">
            <w:pPr>
              <w:spacing w:line="240" w:lineRule="auto"/>
            </w:pPr>
            <w:r>
              <w:t>Gewichtsverlies</w:t>
            </w:r>
          </w:p>
        </w:tc>
        <w:tc>
          <w:tcPr>
            <w:tcW w:w="4516" w:type="dxa"/>
            <w:tcBorders>
              <w:top w:val="single" w:sz="4" w:space="0" w:color="auto"/>
              <w:left w:val="single" w:sz="4" w:space="0" w:color="auto"/>
              <w:bottom w:val="single" w:sz="4" w:space="0" w:color="auto"/>
              <w:right w:val="single" w:sz="4" w:space="0" w:color="auto"/>
            </w:tcBorders>
            <w:hideMark/>
          </w:tcPr>
          <w:p w14:paraId="6E35FD5A" w14:textId="77777777" w:rsidR="003738BA" w:rsidRDefault="003738BA">
            <w:pPr>
              <w:spacing w:line="240" w:lineRule="auto"/>
            </w:pPr>
            <w:r>
              <w:t>Ongewild gewichtsverlies met het ontbreken van een duidelijke lichamelijke oorzaak</w:t>
            </w:r>
          </w:p>
        </w:tc>
      </w:tr>
      <w:tr w:rsidR="003738BA" w14:paraId="1F618011" w14:textId="77777777" w:rsidTr="003738BA">
        <w:tc>
          <w:tcPr>
            <w:tcW w:w="3417" w:type="dxa"/>
            <w:tcBorders>
              <w:top w:val="single" w:sz="4" w:space="0" w:color="auto"/>
              <w:left w:val="single" w:sz="4" w:space="0" w:color="auto"/>
              <w:bottom w:val="single" w:sz="4" w:space="0" w:color="auto"/>
              <w:right w:val="single" w:sz="4" w:space="0" w:color="auto"/>
            </w:tcBorders>
            <w:hideMark/>
          </w:tcPr>
          <w:p w14:paraId="06E7B6F6" w14:textId="77777777" w:rsidR="003738BA" w:rsidRDefault="003738BA">
            <w:pPr>
              <w:spacing w:line="240" w:lineRule="auto"/>
            </w:pPr>
            <w:r>
              <w:t>Frequente doktersvisites</w:t>
            </w:r>
          </w:p>
        </w:tc>
        <w:tc>
          <w:tcPr>
            <w:tcW w:w="4516" w:type="dxa"/>
            <w:tcBorders>
              <w:top w:val="single" w:sz="4" w:space="0" w:color="auto"/>
              <w:left w:val="single" w:sz="4" w:space="0" w:color="auto"/>
              <w:bottom w:val="single" w:sz="4" w:space="0" w:color="auto"/>
              <w:right w:val="single" w:sz="4" w:space="0" w:color="auto"/>
            </w:tcBorders>
            <w:hideMark/>
          </w:tcPr>
          <w:p w14:paraId="0262B25E" w14:textId="77777777" w:rsidR="003738BA" w:rsidRDefault="003738BA">
            <w:pPr>
              <w:spacing w:line="240" w:lineRule="auto"/>
            </w:pPr>
            <w:r>
              <w:t>Uit retrospectief onderzoek blijkt dat in de 5 jaar vóór het stellen van de diagnose van dementie, patiënten vaker hun huisarts bezochten.  Consultredenen waren meestal vage klachten zoals problemen met gedrag en affect, een veranderde eetlust en/of gewichtsverlies</w:t>
            </w:r>
          </w:p>
        </w:tc>
      </w:tr>
    </w:tbl>
    <w:p w14:paraId="7A7ABD54" w14:textId="77777777" w:rsidR="006B1C5D" w:rsidRDefault="006B1C5D"/>
    <w:sectPr w:rsidR="006B1C5D" w:rsidSect="00B54556">
      <w:type w:val="continuous"/>
      <w:pgSz w:w="11906" w:h="16838"/>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BA"/>
    <w:rsid w:val="00100EE8"/>
    <w:rsid w:val="003738BA"/>
    <w:rsid w:val="006B1C5D"/>
    <w:rsid w:val="00B54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77C0"/>
  <w15:chartTrackingRefBased/>
  <w15:docId w15:val="{C7C2FFF3-A782-494A-BA91-029704B0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8BA"/>
    <w:pPr>
      <w:spacing w:line="256"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8BA"/>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7651">
      <w:bodyDiv w:val="1"/>
      <w:marLeft w:val="0"/>
      <w:marRight w:val="0"/>
      <w:marTop w:val="0"/>
      <w:marBottom w:val="0"/>
      <w:divBdr>
        <w:top w:val="none" w:sz="0" w:space="0" w:color="auto"/>
        <w:left w:val="none" w:sz="0" w:space="0" w:color="auto"/>
        <w:bottom w:val="none" w:sz="0" w:space="0" w:color="auto"/>
        <w:right w:val="none" w:sz="0" w:space="0" w:color="auto"/>
      </w:divBdr>
    </w:div>
    <w:div w:id="47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van Waeg</dc:creator>
  <cp:keywords/>
  <dc:description/>
  <cp:lastModifiedBy>Hendrik van Waeg</cp:lastModifiedBy>
  <cp:revision>1</cp:revision>
  <dcterms:created xsi:type="dcterms:W3CDTF">2019-07-06T12:05:00Z</dcterms:created>
  <dcterms:modified xsi:type="dcterms:W3CDTF">2019-08-11T19:45:00Z</dcterms:modified>
</cp:coreProperties>
</file>